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11 vom 2. März 2023</w:t>
      </w:r>
    </w:p>
    <w:p>
      <w:r>
        <w:t>GR Gerichte, 2023-03-02, DE</w:t>
      </w:r>
    </w:p>
    <w:p>
      <w:r>
        <w:rPr>
          <w:b/>
        </w:rPr>
        <w:t xml:space="preserve">Quelle: </w:t>
      </w:r>
      <w:r>
        <w:t>https://mcp.opencaselaw.ch/entscheid/gr_gerichte_SK2 2023 11</w:t>
      </w:r>
    </w:p>
    <w:p>
      <w:r>
        <w:t>FR: GR_GERICHTE SK2 2023 11 du 2 mars 2023</w:t>
      </w:r>
    </w:p>
    <w:p>
      <w:r>
        <w:t>IT: GR_GERICHTE SK2 2023 11 del 2 marzo 2023</w:t>
      </w:r>
    </w:p>
    <w:p>
      <w:pPr>
        <w:pStyle w:val="Heading2"/>
      </w:pPr>
      <w:r>
        <w:t>Regeste</w:t>
      </w:r>
    </w:p>
    <w:p>
      <w:r>
        <w:t>Widerhandlung gegen das Betäubungsmittelgesetz gemäss Art. 19 Abs. 1 BetmG | Beschwerde gegen StA, Andere Untersuchungsmassnahme</w:t>
      </w:r>
    </w:p>
    <w:p>
      <w:pPr>
        <w:pStyle w:val="Heading2"/>
      </w:pPr>
      <w:r>
        <w:t>Volltext</w:t>
      </w:r>
    </w:p>
    <w:p>
      <w:r>
        <w:t>Kantonsgericht von Graubünden Dretgira chantunala dal Grischun Tribunale cantonale dei Grigioni Verfügung vom 2. März 2023 (Mit Urteil 1B_200/2023 vom 20. April 2023 ist das Bundesgericht auf die gegen diese Verfügung erhobene Beschwerde nicht eingetreten.) Referenz SK2 23 11 Instanz II. Strafkammer Besetzung Hubert, Vorsitzender Parteien A._____ Beschwerdeführer Gegenstand Widerhandlung gegen das Betäubungsmittelgesetz gemäss Art. 19 Abs. 1 BetmG Anfechtungsobj. Durchsuchungsbefehl Staatsanwaltschaft Graubünden vom 09.02.2023, mitgeteilt am 09.02.2023 (Proz. Nr. VV.2023.378) Mitteilung 3. März 2023</w:t>
      </w:r>
    </w:p>
    <w:p>
      <w:r>
        <w:t>2 / 6 In Erwägung, – dass die Staatsanwaltschaft Graubünden gegen A._____ eine Strafuntersu- chung wegen Widerhandlung gegen das Betäubungsmittelgesetz gemäss Art. 19 Abs. 1 BetmG führt (StA act. 1.1), – dass die Staatsanwaltschaft in diesem Zusammenhang einen mündlichen Durchsuchungsbefehl erliess, den sie mit Verfügung vom 9. Februar 2023 schriftlich bestätigte (StA act. 3.1), – dass die Staatsanwaltschaft dabei anordnete, eine Hausdurchsuchung (Art. 244 StPO) und Durchsuchung von Aufzeichnungen (Art. 246 StPO) vorzu- nehmen, wobei der Wohnort von A._____, die dazugehörigen Estrich- und Kellerräume oder Nebenräumlichkeiten, verwendete Fahrzeuge, Garagen etc. sowie die Person A._____ (Art. 249 StPO) zu durchsuchen seien, – dass die Staatsanwaltschaft zudem anordnete, anlässlich der Durchsuchung Betäubungsmittel, Beweismaterial betreffend Widerhandlungen gegen das Betäubungsmittelgesetz (z.B. Betäubungsmittelutensilien, Mobiltelefone, Bar- geld etc.) sowie weitere Gegenstände und Schriftsachen, die auf Straftaten hinweisen, sicherzustellen, – dass der Durchsuchungsbefehl damit begründet wurde, dass A._____ in drin- gendem Verdacht stehe, Marihuana anzubauen, – dass die Durchsuchung am 8. Februar 2023 durch die Kantonspolizei Graubünden durchgeführt wurde, wobei diverse Gegenstände, Utensilien, Hanf, Marihuana etc. sichergestellt wurden (StA act. 3.2 und 3.3), – dass A._____ (nachfolgend Beschwerdeführer) am 15. Februar 2023 (Datum der Überbringung der Eingabe ans Gericht) gegen den Durchsuchungsbefehl der Staatsanwaltschaft Beschwerde ans Kantonsgericht von Graubünden er- hob, – dass die Verfahrensakten Pr.Nr. VV.2023.378 von der Staatsanwaltschaft bei- gezogen wurden, – dass auf die Einholung einer Stellungnahme verzichtet wurde, – dass, wer ein Rechtsmittel im Sinne von Art. 379 ff. StPO ergreift, grundsätz- lich ein aktuelles praktisches Interesse an der Aufhebung oder Änderung des</w:t>
      </w:r>
    </w:p>
    <w:p>
      <w:r>
        <w:t>3 / 6 angefochtenen Entscheides haben muss (vgl. Art. 382 Abs. 1 StPO; BGer 1B_351/2012 v. 20.9.2012 E. 2.3 m.w.H.), – dass für die Beurteilung des Rechtsschutzinteresses von den gestellten Rechtsbegehren auszugehen ist, – dass der Beschwerdeführer keine konkreten Rechtsbegehren stellt, womit sei- ne Eingabe an sich bereits den formellen Anforderungen an eine Beschwerde nicht genügt (Martin Ziegler/Stefan Keller, in: Niggli/Heer/Wiprächtiger [Hrsg.], Basler Kommentar StPO, 2. Auflage, Basel 2014, N 1 zu Art. 385 StPO), – dass aufgrund des Umstands, dass es sich um eine Laieneingabe handelt, zu prüfen ist, inwieweit sich aus deren Begründung ein hinreichend deutlicher An- trag ergibt (Martin Ziegler/Stefan Keller, a.a.O., N 1b zu Art. 385 StPO), – dass der Beschwerdeführer begründend ausführt, er gehöre der Religion der Gottheit Shiva an und der Genuss des Marijuan stelle ein zentrales Element in der Lebensweise eines Shivaiten dar, – dass er in seinem Zimmer Cannabis anbaue und Cannabis konsumiere, da dies zu seiner Religion gehöre, weshalb die Beschwerde anzunehmen sei und ihm seine religiöse Praxis erlaubt werden müsse, – dass er im Wesentlichen geltend macht, die durchgeführte Durchsuchung und die Sicherstellung von Gegenständen, Utensilien und Drogen verstosse gegen die Glaubens- und Gewissensfreiheit (Art. 15 BV), – dass die Durchsuchung bereits stattgefunden hat und naturgemäss nachträg- lich nicht mehr aufgehoben oder abgeändert werden kann, womit ein rechtlich geschütztes Interesse an einem entsprechenden Begehren aktuell nicht mehr gegeben ist, – dass ein Rechtsschutzinteresse ausnahmsweise über die Beendigung einer Zwangsmassnahme hinaus Bestand haben kann, wenn diese später nicht mehr überprüft werden kann oder sich die gerügte Anordnung für den Betrof- fenen auf den materiellen Ausgang des Strafverfahrens nachteilig auswirken könnte (BGer 1B_351/2012 v. 20.9.2012 E. 2.3.1; BStGer BV.2010.69 v. 27.12.2010 E. 2.3.1), – dass der Beschwerdeführer nicht ausführt und auch nicht ersichtlich ist, in- wieweit diese Voraussetzungen vorliegend gegeben sein sollten,</w:t>
      </w:r>
    </w:p>
    <w:p>
      <w:r>
        <w:t>4 / 6 – dass auch kein aktuelles Rechtsschutzinteresse an der blossen Feststellung der Unrechtmässigkeit der Durchsuchung erkennbar ist, zumal allenfalls nicht ordnungsgemäss erhobene Beweise bei einem Sachentscheid unberücksich- tigt zu bleiben hätten oder nochmals zu erheben wären (vgl. Art. 343 StPO sowie KGer GR SK2 18 2 v. 2.8.2018), – dass auf das aktuelle praktische Interesse nur ausnahmsweise verzichtet wer- den kann, wenn sich die aufgeworfenen Fragen unter gleichen oder ähnlichen Umständen erneut stellen können, wenn an deren Beantwortung wegen ihrer grundsätzlichen Bedeutung für eine Vielzahl Betroffener ein hinreichendes öf- fentliches Interesse besteht und wenn die betreffenden Rügen im Fall des Nichteintretens auf die Beschwerde kaum je rechtzeitig überprüfbar wären (vgl. dazu BGer 1B_351/2012 v. 20.9.2012 E. 2.3.3; BGE 138 II 42 E. 1.3; BGE 131 II 670 E. 1.2; BGE 125 I 394 E. 4.b), – dass diese Voraussetzungen bei Durchsuchungen i.S.v. Art. 241 ff. StPO nicht erfüllt sind, – dass nämlich die allgemeinen Voraussetzungen für solche Zwangsmassnah- men zwar immer wieder zu prüfen, aber in jedem Einzelfall anders gelagert sind (vgl. dazu BGer 1B_351/2012 v. 20.9.2012 E. 2.3.3; BGE 138 II 42 E. 1.3; KGer GR SK2 13 33 v. 19.12.2013 E. 2.a), – dass aufgrund der vorstehenden Ausführungen das erforderliche aktuelle Rechtsschutzinteresse des Beschwerdeführers zu verneinen und insoweit auf die Beschwerde nicht einzutreten ist, – dass gegen die vorläufige Sicherstellung von Gegenständen etc. die Be- schwerde grundsätzlich nicht zulässig ist (BStGer BV.2010.69 v. 14.12.2010 E. 2.2; BStGer BV2014.79 v. 27.2.2015 E. 2.4.2.; zur Abgrenzung Beschlag- nahme/Sicherstellung vgl. auch KGer GR SK2 17 52 v. 11.6.2018 E. 1.2.3 ff.) und somit auch diesbezüglich auf das Rechtsmittel nicht einzutreten ist, – dass sich die Beschwerde überdies als offensichtlich unbegründet erweist und abzuweisen wäre, sofern darauf einzutreten wäre, – dass der Beschwerdeführer die ihm vorgeworfenen Strafhandlungen nicht be- streitet und auch nicht bemängelt, der Sachverhalt sei in der angefochtenen Verfügung nicht richtig festgestellt worden,</w:t>
      </w:r>
    </w:p>
    <w:p>
      <w:r>
        <w:t>5 / 6 – dass er einzig versucht, seine Handlungen mit der Glaubens- und Gewissens- freiheit zu rechtfertigen, – dass er dabei verkennt, dass die Glaubens- und Gewissensfreiheit − soweit diese durch die angefochtenen Massnahmen überhaupt tangiert wird − wie je- des Grundrecht durch das Gesetz eingeschränkt werden kann (Art. 36 BV), – dass für die angeordnete Durchsuchung und Sicherstellung eine genügende gesetzliche Grundlage besteht (Art. 197 StPO und Art. 241 ff. StPO), – dass die darin statuierten Voraussetzungen für die angeordneten Zwangs- massnahmen ohne weiteres erfüllt waren, – dass namentlich ein hinreichender Tatverdacht vorlag, zumal der Beschwerde- führer auch noch in der Beschwerde offen eingesteht, in seinem Zimmer Can- nabis anzubauen und zu konsumieren, – dass die angeordneten Massnahmen angemessen und durch die dem Be- schwerdeführer vorgeworfenen Straftaten gerechtfertigt waren, und dass die angestrebten Ziele nicht mit milderen Massnahmen erreicht werden konnten, – dass somit die Beschwerde abgewiesen werden müsste, soweit darauf einzu- treten wäre, – dass der Beschwerdeführer bei diesem Ausgang die Kosten des Verfahrens zu tragen hat (Art. 428 Abs. 1 StPO), – dass die Kosten in Anwendung von Art. 8 in Verbindung mit Art. 10 der Ver- ordnung über die Gerichtsgebühren in Strafverfahren (VGS; BR 350.210) auf CHF 800.00 festgelegt werden, – dass die vorliegende Verfügung gestützt auf Art. 18 Abs. 3 des Gerichtsorga- nisationsgesetzes (GOG; BR 173.000) in einzelrichterlicher Kompetenz er- geht,</w:t>
      </w:r>
    </w:p>
    <w:p>
      <w:r>
        <w:t>6 / 6 wird erkannt: 1. Auf die Beschwerde wird nicht eingetreten. 2. Die Kosten des Beschwerdeverfahrens von CHF 800.00 gehen zu Lasten von A._____.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